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26907">
      <w:pPr>
        <w:pStyle w:val="5"/>
        <w:spacing w:before="120" w:after="120" w:line="0" w:lineRule="atLeast"/>
        <w:jc w:val="center"/>
        <w:outlineLvl w:val="0"/>
        <w:rPr>
          <w:rFonts w:hint="eastAsia" w:ascii="Times New Roman" w:hAnsi="Times New Roman"/>
          <w:color w:val="auto"/>
          <w:sz w:val="24"/>
          <w:szCs w:val="24"/>
          <w:highlight w:val="none"/>
        </w:rPr>
      </w:pPr>
      <w:r>
        <w:rPr>
          <w:rFonts w:hint="eastAsia" w:ascii="Times New Roman" w:hAnsi="Times New Roman" w:eastAsia="黑体"/>
          <w:bCs/>
          <w:color w:val="auto"/>
          <w:sz w:val="44"/>
          <w:highlight w:val="none"/>
        </w:rPr>
        <w:t>采购需求</w:t>
      </w:r>
    </w:p>
    <w:p w14:paraId="7B1A5505">
      <w:pPr>
        <w:spacing w:line="560" w:lineRule="exact"/>
        <w:ind w:firstLine="480"/>
        <w:rPr>
          <w:rFonts w:hint="eastAsia" w:cs="Courier New"/>
          <w:color w:val="auto"/>
          <w:sz w:val="24"/>
          <w:szCs w:val="24"/>
          <w:highlight w:val="none"/>
        </w:rPr>
      </w:pPr>
      <w:r>
        <w:rPr>
          <w:rFonts w:hint="eastAsia" w:cs="Courier New"/>
          <w:color w:val="auto"/>
          <w:sz w:val="24"/>
          <w:szCs w:val="24"/>
          <w:highlight w:val="none"/>
        </w:rPr>
        <w:t>项目属性：货物类项目</w:t>
      </w:r>
    </w:p>
    <w:p w14:paraId="28E16C1B">
      <w:pPr>
        <w:spacing w:line="560" w:lineRule="exact"/>
        <w:ind w:firstLine="480"/>
        <w:rPr>
          <w:rFonts w:hint="eastAsia" w:cs="Courier New"/>
          <w:color w:val="auto"/>
          <w:sz w:val="24"/>
          <w:szCs w:val="24"/>
          <w:highlight w:val="none"/>
        </w:rPr>
      </w:pPr>
      <w:r>
        <w:rPr>
          <w:rFonts w:hint="eastAsia" w:cs="Courier New"/>
          <w:color w:val="auto"/>
          <w:sz w:val="24"/>
          <w:szCs w:val="24"/>
          <w:highlight w:val="none"/>
        </w:rPr>
        <w:t>本项目采购标的对应的中小企业划分标准所属行业：</w:t>
      </w:r>
      <w:r>
        <w:rPr>
          <w:rFonts w:hint="eastAsia" w:cs="Courier New"/>
          <w:color w:val="auto"/>
          <w:sz w:val="24"/>
          <w:szCs w:val="24"/>
          <w:highlight w:val="none"/>
          <w:u w:val="single"/>
        </w:rPr>
        <w:t xml:space="preserve"> 工业（制造业）</w:t>
      </w:r>
    </w:p>
    <w:p w14:paraId="76AF88BB">
      <w:pPr>
        <w:spacing w:line="560" w:lineRule="exact"/>
        <w:ind w:firstLine="480"/>
        <w:rPr>
          <w:rFonts w:hint="eastAsia" w:cs="Courier New"/>
          <w:color w:val="auto"/>
          <w:sz w:val="24"/>
          <w:szCs w:val="24"/>
          <w:highlight w:val="none"/>
        </w:rPr>
      </w:pPr>
      <w:r>
        <w:rPr>
          <w:rFonts w:hint="eastAsia" w:cs="Courier New"/>
          <w:color w:val="auto"/>
          <w:sz w:val="24"/>
          <w:szCs w:val="24"/>
          <w:highlight w:val="none"/>
        </w:rPr>
        <w:t>本项目</w:t>
      </w:r>
      <w:r>
        <w:rPr>
          <w:rFonts w:hint="eastAsia" w:cs="Courier New"/>
          <w:color w:val="auto"/>
          <w:sz w:val="24"/>
          <w:szCs w:val="24"/>
          <w:highlight w:val="none"/>
          <w:u w:val="single"/>
        </w:rPr>
        <w:t xml:space="preserve"> </w:t>
      </w:r>
      <w:r>
        <w:rPr>
          <w:rFonts w:hint="eastAsia" w:cs="Courier New"/>
          <w:color w:val="auto"/>
          <w:sz w:val="24"/>
          <w:szCs w:val="24"/>
          <w:highlight w:val="none"/>
          <w:u w:val="single"/>
          <w:lang w:eastAsia="zh-CN"/>
        </w:rPr>
        <w:t>不</w:t>
      </w:r>
      <w:r>
        <w:rPr>
          <w:rFonts w:hint="eastAsia" w:cs="Courier New"/>
          <w:color w:val="auto"/>
          <w:sz w:val="24"/>
          <w:szCs w:val="24"/>
          <w:highlight w:val="none"/>
          <w:u w:val="single"/>
        </w:rPr>
        <w:t xml:space="preserve">接受 </w:t>
      </w:r>
      <w:r>
        <w:rPr>
          <w:rFonts w:hint="eastAsia" w:cs="Courier New"/>
          <w:color w:val="auto"/>
          <w:sz w:val="24"/>
          <w:szCs w:val="24"/>
          <w:highlight w:val="none"/>
        </w:rPr>
        <w:t>（接受/不接受）进口产品。</w:t>
      </w:r>
    </w:p>
    <w:p w14:paraId="7412D742">
      <w:pPr>
        <w:pStyle w:val="6"/>
        <w:keepNext w:val="0"/>
        <w:keepLines w:val="0"/>
        <w:pageBreakBefore w:val="0"/>
        <w:widowControl w:val="0"/>
        <w:spacing w:line="360" w:lineRule="auto"/>
        <w:ind w:right="0" w:firstLine="482"/>
        <w:jc w:val="left"/>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一、项目概况</w:t>
      </w:r>
    </w:p>
    <w:p w14:paraId="101C58AA">
      <w:pPr>
        <w:pStyle w:val="6"/>
        <w:keepNext w:val="0"/>
        <w:keepLines w:val="0"/>
        <w:pageBreakBefore w:val="0"/>
        <w:widowControl w:val="0"/>
        <w:spacing w:line="360" w:lineRule="auto"/>
        <w:ind w:right="0" w:firstLine="480"/>
        <w:jc w:val="left"/>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本次采购内容为</w:t>
      </w:r>
      <w:r>
        <w:rPr>
          <w:rFonts w:hint="eastAsia" w:ascii="Times New Roman" w:hAnsi="Times New Roman" w:cs="Times New Roman"/>
          <w:color w:val="auto"/>
          <w:sz w:val="24"/>
          <w:szCs w:val="21"/>
          <w:highlight w:val="none"/>
          <w:lang w:val="en-US" w:eastAsia="zh-CN" w:bidi="ar-SA"/>
        </w:rPr>
        <w:t>宿迁市宿城区人民法院文书印刷彩色一体机采购项目，</w:t>
      </w:r>
      <w:r>
        <w:rPr>
          <w:rFonts w:hint="eastAsia" w:ascii="Times New Roman" w:hAnsi="Times New Roman" w:eastAsia="宋体" w:cs="Times New Roman"/>
          <w:color w:val="auto"/>
          <w:sz w:val="24"/>
          <w:szCs w:val="21"/>
          <w:highlight w:val="none"/>
          <w:lang w:val="en-US" w:eastAsia="zh-CN" w:bidi="ar-SA"/>
        </w:rPr>
        <w:t>项目总预算及最高限价为</w:t>
      </w:r>
      <w:r>
        <w:rPr>
          <w:rFonts w:hint="eastAsia" w:ascii="Times New Roman" w:hAnsi="Times New Roman" w:cs="Times New Roman"/>
          <w:color w:val="auto"/>
          <w:sz w:val="24"/>
          <w:szCs w:val="21"/>
          <w:highlight w:val="none"/>
          <w:lang w:val="en-US" w:eastAsia="zh-CN" w:bidi="ar-SA"/>
        </w:rPr>
        <w:t>58万元</w:t>
      </w:r>
      <w:r>
        <w:rPr>
          <w:rFonts w:hint="eastAsia" w:ascii="Times New Roman" w:hAnsi="Times New Roman" w:eastAsia="宋体" w:cs="Times New Roman"/>
          <w:color w:val="auto"/>
          <w:sz w:val="24"/>
          <w:szCs w:val="21"/>
          <w:highlight w:val="none"/>
          <w:lang w:val="en-US" w:eastAsia="zh-CN" w:bidi="ar-SA"/>
        </w:rPr>
        <w:t>。</w:t>
      </w:r>
    </w:p>
    <w:p w14:paraId="7B1B0A04">
      <w:pPr>
        <w:pStyle w:val="6"/>
        <w:keepNext w:val="0"/>
        <w:keepLines w:val="0"/>
        <w:pageBreakBefore w:val="0"/>
        <w:widowControl w:val="0"/>
        <w:spacing w:line="360" w:lineRule="auto"/>
        <w:ind w:right="0" w:firstLine="482"/>
        <w:jc w:val="left"/>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二、合同履行期限、地点及要求</w:t>
      </w:r>
    </w:p>
    <w:p w14:paraId="402292DA">
      <w:pPr>
        <w:pStyle w:val="6"/>
        <w:keepNext w:val="0"/>
        <w:keepLines w:val="0"/>
        <w:pageBreakBefore w:val="0"/>
        <w:widowControl w:val="0"/>
        <w:spacing w:line="360" w:lineRule="auto"/>
        <w:ind w:right="0" w:firstLine="480"/>
        <w:jc w:val="left"/>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合同履行期限：</w:t>
      </w:r>
      <w:r>
        <w:rPr>
          <w:rFonts w:hint="eastAsia" w:ascii="Times New Roman" w:hAnsi="Times New Roman" w:cs="Times New Roman"/>
          <w:color w:val="auto"/>
          <w:sz w:val="24"/>
          <w:szCs w:val="21"/>
          <w:highlight w:val="none"/>
          <w:lang w:val="en-US" w:eastAsia="zh-CN" w:bidi="ar-SA"/>
        </w:rPr>
        <w:t>合同签订之后30日历天供货并安装调试完毕</w:t>
      </w:r>
      <w:r>
        <w:rPr>
          <w:rFonts w:hint="eastAsia" w:ascii="Times New Roman" w:hAnsi="Times New Roman" w:eastAsia="宋体" w:cs="Times New Roman"/>
          <w:color w:val="auto"/>
          <w:sz w:val="24"/>
          <w:szCs w:val="21"/>
          <w:highlight w:val="none"/>
          <w:lang w:val="en-US" w:eastAsia="zh-CN" w:bidi="ar-SA"/>
        </w:rPr>
        <w:t>。</w:t>
      </w:r>
    </w:p>
    <w:p w14:paraId="7E16D3B9">
      <w:pPr>
        <w:pStyle w:val="6"/>
        <w:keepNext w:val="0"/>
        <w:keepLines w:val="0"/>
        <w:pageBreakBefore w:val="0"/>
        <w:widowControl w:val="0"/>
        <w:spacing w:line="360" w:lineRule="auto"/>
        <w:ind w:right="0" w:firstLine="480"/>
        <w:jc w:val="left"/>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供货地点：采购人指定地点。</w:t>
      </w:r>
    </w:p>
    <w:p w14:paraId="542F0635">
      <w:pPr>
        <w:pStyle w:val="6"/>
        <w:keepNext w:val="0"/>
        <w:keepLines w:val="0"/>
        <w:pageBreakBefore w:val="0"/>
        <w:widowControl w:val="0"/>
        <w:spacing w:line="360" w:lineRule="auto"/>
        <w:ind w:right="0" w:firstLine="480"/>
        <w:jc w:val="left"/>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质量要求：合格；提供的产品性能及质量有国家标准的应符合国家标准。无国家标准的应符合行业标准或企业标准，并满足招标文件要求，实现投标文件承诺条款。</w:t>
      </w:r>
    </w:p>
    <w:p w14:paraId="793A5D44">
      <w:pPr>
        <w:pStyle w:val="6"/>
        <w:keepNext w:val="0"/>
        <w:keepLines w:val="0"/>
        <w:pageBreakBefore w:val="0"/>
        <w:widowControl w:val="0"/>
        <w:spacing w:line="360" w:lineRule="auto"/>
        <w:ind w:right="0" w:firstLine="482"/>
        <w:jc w:val="left"/>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三、付款方式</w:t>
      </w:r>
    </w:p>
    <w:p w14:paraId="64DB7FE0">
      <w:pPr>
        <w:pStyle w:val="6"/>
        <w:keepNext w:val="0"/>
        <w:keepLines w:val="0"/>
        <w:pageBreakBefore w:val="0"/>
        <w:widowControl w:val="0"/>
        <w:spacing w:line="360" w:lineRule="auto"/>
        <w:ind w:right="0" w:firstLine="480"/>
        <w:jc w:val="left"/>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对于满足合同约定支付条件的，自收到发票后10个工作日内将资金支付到合同约</w:t>
      </w:r>
      <w:r>
        <w:rPr>
          <w:rFonts w:hint="eastAsia" w:ascii="Times New Roman" w:hAnsi="Times New Roman" w:eastAsia="宋体" w:cs="Times New Roman"/>
          <w:color w:val="auto"/>
          <w:sz w:val="24"/>
          <w:szCs w:val="21"/>
          <w:highlight w:val="none"/>
          <w:lang w:val="en-US" w:eastAsia="zh-CN" w:bidi="ar-SA"/>
        </w:rPr>
        <w:t>定的投标人账户或投标人数字人民币账户。</w:t>
      </w:r>
    </w:p>
    <w:p w14:paraId="23440B64">
      <w:pPr>
        <w:pStyle w:val="6"/>
        <w:keepNext w:val="0"/>
        <w:keepLines w:val="0"/>
        <w:pageBreakBefore w:val="0"/>
        <w:widowControl w:val="0"/>
        <w:spacing w:line="360" w:lineRule="auto"/>
        <w:ind w:right="0" w:firstLine="480"/>
        <w:jc w:val="left"/>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cs="Times New Roman"/>
          <w:color w:val="auto"/>
          <w:sz w:val="24"/>
          <w:szCs w:val="21"/>
          <w:highlight w:val="none"/>
          <w:lang w:val="en-US" w:eastAsia="zh-CN" w:bidi="ar-SA"/>
        </w:rPr>
        <w:t xml:space="preserve">合同签订且采购单位收到中标人发票后10个工作日内，支付合同价款的30%作为预付款；货物安装调试完毕并经验收合格后付至合同金额的95%；质保期满后一次性付清。 </w:t>
      </w:r>
    </w:p>
    <w:p w14:paraId="2E5079C4">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注：在签订合同时，中标人明确表示无需预付款或者主动要求降低预付款比例的金额，采购人可不适用预付款规定。</w:t>
      </w:r>
    </w:p>
    <w:p w14:paraId="0EA80539">
      <w:pPr>
        <w:pStyle w:val="6"/>
        <w:keepNext w:val="0"/>
        <w:keepLines w:val="0"/>
        <w:pageBreakBefore w:val="0"/>
        <w:widowControl w:val="0"/>
        <w:spacing w:line="360" w:lineRule="auto"/>
        <w:ind w:right="0" w:firstLine="480"/>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四、</w:t>
      </w:r>
      <w:r>
        <w:rPr>
          <w:rFonts w:hint="eastAsia" w:ascii="Times New Roman" w:hAnsi="Times New Roman" w:cs="Times New Roman"/>
          <w:b/>
          <w:bCs/>
          <w:color w:val="auto"/>
          <w:sz w:val="24"/>
          <w:szCs w:val="21"/>
          <w:highlight w:val="none"/>
          <w:lang w:val="en-US" w:eastAsia="zh-CN" w:bidi="ar-SA"/>
        </w:rPr>
        <w:t>采购内容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3612"/>
        <w:gridCol w:w="2229"/>
        <w:gridCol w:w="1634"/>
      </w:tblGrid>
      <w:tr w14:paraId="53F1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4" w:type="dxa"/>
            <w:vAlign w:val="center"/>
          </w:tcPr>
          <w:p w14:paraId="189380F1">
            <w:pPr>
              <w:pStyle w:val="6"/>
              <w:keepNext w:val="0"/>
              <w:keepLines w:val="0"/>
              <w:pageBreakBefore w:val="0"/>
              <w:widowControl w:val="0"/>
              <w:spacing w:after="0" w:line="360" w:lineRule="auto"/>
              <w:ind w:right="0"/>
              <w:jc w:val="center"/>
              <w:rPr>
                <w:rFonts w:hint="eastAsia" w:ascii="Times New Roman" w:hAnsi="Times New Roman" w:eastAsia="宋体" w:cs="Times New Roman"/>
                <w:b/>
                <w:bCs/>
                <w:color w:val="auto"/>
                <w:sz w:val="24"/>
                <w:szCs w:val="21"/>
                <w:highlight w:val="none"/>
                <w:vertAlign w:val="baseline"/>
                <w:lang w:val="en-US" w:eastAsia="zh-CN" w:bidi="ar-SA"/>
              </w:rPr>
            </w:pPr>
            <w:r>
              <w:rPr>
                <w:rFonts w:hint="eastAsia" w:ascii="Times New Roman" w:hAnsi="Times New Roman" w:cs="Times New Roman"/>
                <w:b/>
                <w:bCs/>
                <w:color w:val="auto"/>
                <w:sz w:val="24"/>
                <w:szCs w:val="21"/>
                <w:highlight w:val="none"/>
                <w:vertAlign w:val="baseline"/>
                <w:lang w:val="en-US" w:eastAsia="zh-CN" w:bidi="ar-SA"/>
              </w:rPr>
              <w:t>序号</w:t>
            </w:r>
          </w:p>
        </w:tc>
        <w:tc>
          <w:tcPr>
            <w:tcW w:w="3915" w:type="dxa"/>
            <w:vAlign w:val="center"/>
          </w:tcPr>
          <w:p w14:paraId="68AA4D98">
            <w:pPr>
              <w:pStyle w:val="6"/>
              <w:keepNext w:val="0"/>
              <w:keepLines w:val="0"/>
              <w:pageBreakBefore w:val="0"/>
              <w:widowControl w:val="0"/>
              <w:spacing w:after="0" w:line="360" w:lineRule="auto"/>
              <w:ind w:right="0"/>
              <w:jc w:val="center"/>
              <w:rPr>
                <w:rFonts w:hint="eastAsia" w:ascii="Times New Roman" w:hAnsi="Times New Roman" w:eastAsia="宋体" w:cs="Times New Roman"/>
                <w:b/>
                <w:bCs/>
                <w:color w:val="auto"/>
                <w:sz w:val="24"/>
                <w:szCs w:val="21"/>
                <w:highlight w:val="none"/>
                <w:vertAlign w:val="baseline"/>
                <w:lang w:val="en-US" w:eastAsia="zh-CN" w:bidi="ar-SA"/>
              </w:rPr>
            </w:pPr>
            <w:r>
              <w:rPr>
                <w:rFonts w:hint="eastAsia" w:ascii="Times New Roman" w:hAnsi="Times New Roman" w:cs="Times New Roman"/>
                <w:b/>
                <w:bCs/>
                <w:color w:val="auto"/>
                <w:sz w:val="24"/>
                <w:szCs w:val="21"/>
                <w:highlight w:val="none"/>
                <w:vertAlign w:val="baseline"/>
                <w:lang w:val="en-US" w:eastAsia="zh-CN" w:bidi="ar-SA"/>
              </w:rPr>
              <w:t>分项名称</w:t>
            </w:r>
          </w:p>
        </w:tc>
        <w:tc>
          <w:tcPr>
            <w:tcW w:w="2400" w:type="dxa"/>
            <w:vAlign w:val="center"/>
          </w:tcPr>
          <w:p w14:paraId="3F619F0A">
            <w:pPr>
              <w:pStyle w:val="6"/>
              <w:keepNext w:val="0"/>
              <w:keepLines w:val="0"/>
              <w:pageBreakBefore w:val="0"/>
              <w:widowControl w:val="0"/>
              <w:spacing w:after="0" w:line="360" w:lineRule="auto"/>
              <w:ind w:right="0"/>
              <w:jc w:val="center"/>
              <w:rPr>
                <w:rFonts w:hint="eastAsia" w:ascii="Times New Roman" w:hAnsi="Times New Roman" w:eastAsia="宋体" w:cs="Times New Roman"/>
                <w:b/>
                <w:bCs/>
                <w:color w:val="auto"/>
                <w:sz w:val="24"/>
                <w:szCs w:val="21"/>
                <w:highlight w:val="none"/>
                <w:vertAlign w:val="baseline"/>
                <w:lang w:val="en-US" w:eastAsia="zh-CN" w:bidi="ar-SA"/>
              </w:rPr>
            </w:pPr>
            <w:r>
              <w:rPr>
                <w:rFonts w:hint="eastAsia" w:ascii="Times New Roman" w:hAnsi="Times New Roman" w:cs="Times New Roman"/>
                <w:b/>
                <w:bCs/>
                <w:color w:val="auto"/>
                <w:sz w:val="24"/>
                <w:szCs w:val="21"/>
                <w:highlight w:val="none"/>
                <w:vertAlign w:val="baseline"/>
                <w:lang w:val="en-US" w:eastAsia="zh-CN" w:bidi="ar-SA"/>
              </w:rPr>
              <w:t>数量</w:t>
            </w:r>
          </w:p>
        </w:tc>
        <w:tc>
          <w:tcPr>
            <w:tcW w:w="1747" w:type="dxa"/>
            <w:vAlign w:val="center"/>
          </w:tcPr>
          <w:p w14:paraId="01CB62ED">
            <w:pPr>
              <w:pStyle w:val="6"/>
              <w:keepNext w:val="0"/>
              <w:keepLines w:val="0"/>
              <w:pageBreakBefore w:val="0"/>
              <w:widowControl w:val="0"/>
              <w:spacing w:after="0" w:line="360" w:lineRule="auto"/>
              <w:ind w:right="0"/>
              <w:jc w:val="center"/>
              <w:rPr>
                <w:rFonts w:hint="eastAsia" w:ascii="Times New Roman" w:hAnsi="Times New Roman" w:cs="Times New Roman"/>
                <w:b/>
                <w:bCs/>
                <w:color w:val="auto"/>
                <w:sz w:val="24"/>
                <w:szCs w:val="21"/>
                <w:highlight w:val="none"/>
                <w:vertAlign w:val="baseline"/>
                <w:lang w:val="en-US" w:eastAsia="zh-CN" w:bidi="ar-SA"/>
              </w:rPr>
            </w:pPr>
            <w:r>
              <w:rPr>
                <w:rFonts w:hint="eastAsia" w:ascii="Times New Roman" w:hAnsi="Times New Roman" w:cs="Times New Roman"/>
                <w:b/>
                <w:bCs/>
                <w:color w:val="auto"/>
                <w:sz w:val="24"/>
                <w:szCs w:val="21"/>
                <w:highlight w:val="none"/>
                <w:vertAlign w:val="baseline"/>
                <w:lang w:val="en-US" w:eastAsia="zh-CN" w:bidi="ar-SA"/>
              </w:rPr>
              <w:t>备注</w:t>
            </w:r>
          </w:p>
        </w:tc>
      </w:tr>
      <w:tr w14:paraId="1B25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104" w:type="dxa"/>
            <w:vAlign w:val="center"/>
          </w:tcPr>
          <w:p w14:paraId="01B0F7C3">
            <w:pPr>
              <w:pStyle w:val="6"/>
              <w:keepNext w:val="0"/>
              <w:keepLines w:val="0"/>
              <w:pageBreakBefore w:val="0"/>
              <w:widowControl w:val="0"/>
              <w:spacing w:after="0" w:line="360" w:lineRule="auto"/>
              <w:ind w:right="0"/>
              <w:jc w:val="center"/>
              <w:rPr>
                <w:rFonts w:hint="default" w:ascii="Times New Roman" w:hAnsi="Times New Roman" w:eastAsia="宋体" w:cs="Times New Roman"/>
                <w:color w:val="auto"/>
                <w:sz w:val="24"/>
                <w:szCs w:val="21"/>
                <w:highlight w:val="none"/>
                <w:vertAlign w:val="baseline"/>
                <w:lang w:val="en-US" w:eastAsia="zh-CN" w:bidi="ar-SA"/>
              </w:rPr>
            </w:pPr>
            <w:r>
              <w:rPr>
                <w:rFonts w:hint="eastAsia" w:ascii="Times New Roman" w:hAnsi="Times New Roman" w:cs="Times New Roman"/>
                <w:color w:val="auto"/>
                <w:sz w:val="24"/>
                <w:szCs w:val="21"/>
                <w:highlight w:val="none"/>
                <w:vertAlign w:val="baseline"/>
                <w:lang w:val="en-US" w:eastAsia="zh-CN" w:bidi="ar-SA"/>
              </w:rPr>
              <w:t>1</w:t>
            </w:r>
          </w:p>
        </w:tc>
        <w:tc>
          <w:tcPr>
            <w:tcW w:w="3915" w:type="dxa"/>
            <w:vAlign w:val="center"/>
          </w:tcPr>
          <w:p w14:paraId="1964927C">
            <w:pPr>
              <w:pStyle w:val="6"/>
              <w:keepNext w:val="0"/>
              <w:keepLines w:val="0"/>
              <w:pageBreakBefore w:val="0"/>
              <w:widowControl w:val="0"/>
              <w:spacing w:after="0" w:line="360" w:lineRule="auto"/>
              <w:ind w:right="0"/>
              <w:jc w:val="center"/>
              <w:rPr>
                <w:rFonts w:hint="eastAsia" w:ascii="Times New Roman" w:hAnsi="Times New Roman" w:eastAsia="宋体" w:cs="Times New Roman"/>
                <w:color w:val="auto"/>
                <w:sz w:val="24"/>
                <w:szCs w:val="21"/>
                <w:highlight w:val="none"/>
                <w:vertAlign w:val="baseline"/>
                <w:lang w:val="en-US" w:eastAsia="zh-CN" w:bidi="ar-SA"/>
              </w:rPr>
            </w:pPr>
            <w:r>
              <w:rPr>
                <w:rFonts w:hint="eastAsia" w:ascii="Times New Roman" w:hAnsi="Times New Roman" w:eastAsia="宋体" w:cs="Times New Roman"/>
                <w:color w:val="auto"/>
                <w:sz w:val="24"/>
                <w:szCs w:val="21"/>
                <w:highlight w:val="none"/>
                <w:vertAlign w:val="baseline"/>
                <w:lang w:val="en-US" w:eastAsia="zh-CN" w:bidi="ar-SA"/>
              </w:rPr>
              <w:t>文书印刷彩色一体机</w:t>
            </w:r>
          </w:p>
        </w:tc>
        <w:tc>
          <w:tcPr>
            <w:tcW w:w="2400" w:type="dxa"/>
            <w:vAlign w:val="center"/>
          </w:tcPr>
          <w:p w14:paraId="4F3051DF">
            <w:pPr>
              <w:pStyle w:val="6"/>
              <w:keepNext w:val="0"/>
              <w:keepLines w:val="0"/>
              <w:pageBreakBefore w:val="0"/>
              <w:widowControl w:val="0"/>
              <w:spacing w:after="0" w:line="360" w:lineRule="auto"/>
              <w:ind w:right="0"/>
              <w:jc w:val="center"/>
              <w:rPr>
                <w:rFonts w:hint="eastAsia" w:ascii="Times New Roman" w:hAnsi="Times New Roman" w:eastAsia="宋体" w:cs="Times New Roman"/>
                <w:color w:val="auto"/>
                <w:sz w:val="24"/>
                <w:szCs w:val="21"/>
                <w:highlight w:val="none"/>
                <w:vertAlign w:val="baseline"/>
                <w:lang w:val="en-US" w:eastAsia="zh-CN" w:bidi="ar-SA"/>
              </w:rPr>
            </w:pPr>
            <w:r>
              <w:rPr>
                <w:rFonts w:hint="eastAsia" w:ascii="Times New Roman" w:hAnsi="Times New Roman" w:cs="Times New Roman"/>
                <w:color w:val="auto"/>
                <w:sz w:val="24"/>
                <w:szCs w:val="21"/>
                <w:highlight w:val="none"/>
                <w:vertAlign w:val="baseline"/>
                <w:lang w:val="en-US" w:eastAsia="zh-CN" w:bidi="ar-SA"/>
              </w:rPr>
              <w:t>1</w:t>
            </w:r>
            <w:r>
              <w:rPr>
                <w:rFonts w:hint="eastAsia" w:ascii="Times New Roman" w:hAnsi="Times New Roman" w:eastAsia="宋体" w:cs="Times New Roman"/>
                <w:color w:val="auto"/>
                <w:sz w:val="24"/>
                <w:szCs w:val="21"/>
                <w:highlight w:val="none"/>
                <w:vertAlign w:val="baseline"/>
                <w:lang w:val="en-US" w:eastAsia="zh-CN" w:bidi="ar-SA"/>
              </w:rPr>
              <w:t>台</w:t>
            </w:r>
          </w:p>
        </w:tc>
        <w:tc>
          <w:tcPr>
            <w:tcW w:w="1747" w:type="dxa"/>
            <w:vAlign w:val="center"/>
          </w:tcPr>
          <w:p w14:paraId="6FDE5755">
            <w:pPr>
              <w:pStyle w:val="6"/>
              <w:keepNext w:val="0"/>
              <w:keepLines w:val="0"/>
              <w:pageBreakBefore w:val="0"/>
              <w:widowControl w:val="0"/>
              <w:spacing w:after="0" w:line="360" w:lineRule="auto"/>
              <w:ind w:right="0"/>
              <w:jc w:val="center"/>
              <w:rPr>
                <w:rFonts w:hint="eastAsia" w:ascii="Times New Roman" w:hAnsi="Times New Roman" w:cs="Times New Roman"/>
                <w:color w:val="auto"/>
                <w:sz w:val="24"/>
                <w:szCs w:val="21"/>
                <w:highlight w:val="none"/>
                <w:vertAlign w:val="baseline"/>
                <w:lang w:val="en-US" w:eastAsia="zh-CN" w:bidi="ar-SA"/>
              </w:rPr>
            </w:pPr>
          </w:p>
        </w:tc>
      </w:tr>
    </w:tbl>
    <w:p w14:paraId="74756CC1">
      <w:pPr>
        <w:pStyle w:val="6"/>
        <w:keepNext w:val="0"/>
        <w:keepLines w:val="0"/>
        <w:pageBreakBefore w:val="0"/>
        <w:widowControl w:val="0"/>
        <w:spacing w:line="360" w:lineRule="auto"/>
        <w:ind w:right="0" w:firstLine="480"/>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cs="Times New Roman"/>
          <w:b/>
          <w:bCs/>
          <w:color w:val="auto"/>
          <w:sz w:val="24"/>
          <w:szCs w:val="21"/>
          <w:highlight w:val="none"/>
          <w:lang w:val="en-US" w:eastAsia="zh-CN" w:bidi="ar-SA"/>
        </w:rPr>
        <w:t>（一）技术参数要求：</w:t>
      </w:r>
    </w:p>
    <w:p w14:paraId="25CD286E">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1.能实现彩色数码印刷，彩色复印+彩色打印+彩色扫描。</w:t>
      </w:r>
    </w:p>
    <w:p w14:paraId="4A94DC9A">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★2.复印和打印速度：全彩色A4单面≥140页每分钟。</w:t>
      </w:r>
      <w:r>
        <w:rPr>
          <w:rFonts w:hint="eastAsia" w:ascii="Times New Roman" w:hAnsi="Times New Roman" w:cs="Times New Roman"/>
          <w:b/>
          <w:bCs/>
          <w:color w:val="auto"/>
          <w:sz w:val="24"/>
          <w:szCs w:val="21"/>
          <w:highlight w:val="none"/>
          <w:lang w:val="en-US" w:eastAsia="zh-CN" w:bidi="ar-SA"/>
        </w:rPr>
        <w:t>（提供相关证明材料）</w:t>
      </w:r>
    </w:p>
    <w:p w14:paraId="4BDFD537">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★3.打印质量：采用油墨印刷原理（非激光显影原理），打印分辨率精细模式：≥600dpi。</w:t>
      </w:r>
      <w:r>
        <w:rPr>
          <w:rFonts w:hint="eastAsia" w:ascii="Times New Roman" w:hAnsi="Times New Roman" w:eastAsia="宋体" w:cs="Times New Roman"/>
          <w:b/>
          <w:bCs/>
          <w:color w:val="auto"/>
          <w:sz w:val="24"/>
          <w:szCs w:val="21"/>
          <w:highlight w:val="none"/>
          <w:lang w:val="en-US" w:eastAsia="zh-CN" w:bidi="ar-SA"/>
        </w:rPr>
        <w:t>（提供相关证明材料）</w:t>
      </w:r>
    </w:p>
    <w:p w14:paraId="65036D94">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4.打印区域：</w:t>
      </w:r>
      <w:bookmarkStart w:id="0" w:name="_Hlk211327767"/>
      <w:r>
        <w:rPr>
          <w:rFonts w:hint="eastAsia" w:ascii="Times New Roman" w:hAnsi="Times New Roman" w:eastAsia="宋体" w:cs="Times New Roman"/>
          <w:color w:val="auto"/>
          <w:sz w:val="24"/>
          <w:szCs w:val="21"/>
          <w:highlight w:val="none"/>
          <w:lang w:val="en-US" w:eastAsia="zh-CN" w:bidi="ar-SA"/>
        </w:rPr>
        <w:t>≥</w:t>
      </w:r>
      <w:bookmarkEnd w:id="0"/>
      <w:r>
        <w:rPr>
          <w:rFonts w:hint="eastAsia" w:ascii="Times New Roman" w:hAnsi="Times New Roman" w:eastAsia="宋体" w:cs="Times New Roman"/>
          <w:color w:val="auto"/>
          <w:sz w:val="24"/>
          <w:szCs w:val="21"/>
          <w:highlight w:val="none"/>
          <w:lang w:val="en-US" w:eastAsia="zh-CN" w:bidi="ar-SA"/>
        </w:rPr>
        <w:t>310mm×535mm。</w:t>
      </w:r>
    </w:p>
    <w:p w14:paraId="4F8FB55C">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5.墨水类型：文件红色、青色、黄色和黑色；墨水容量：≥1000ml；符合国家档案局耐久字迹标准。</w:t>
      </w:r>
    </w:p>
    <w:p w14:paraId="572D6828">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w:t>
      </w:r>
      <w:r>
        <w:rPr>
          <w:rFonts w:hint="eastAsia" w:ascii="Times New Roman" w:hAnsi="Times New Roman" w:eastAsia="宋体" w:cs="Times New Roman"/>
          <w:color w:val="auto"/>
          <w:sz w:val="24"/>
          <w:szCs w:val="21"/>
          <w:highlight w:val="none"/>
          <w:lang w:val="en-US" w:eastAsia="zh-CN" w:bidi="ar-SA"/>
        </w:rPr>
        <w:t>6.扫描：</w:t>
      </w:r>
    </w:p>
    <w:p w14:paraId="0401A94A">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（1）彩色双扫描头扫描仪，速度≥100面/分钟；</w:t>
      </w:r>
    </w:p>
    <w:p w14:paraId="4EC83ECB">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（2）最高分辨率：600×600dpi，可扫描至电脑、电子邮件；</w:t>
      </w:r>
    </w:p>
    <w:p w14:paraId="731DD373">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（3）扫描格式：至少支持TIFF、JPEG、PDF</w:t>
      </w:r>
      <w:r>
        <w:rPr>
          <w:rFonts w:hint="default" w:ascii="Times New Roman" w:hAnsi="Times New Roman" w:eastAsia="宋体" w:cs="Times New Roman"/>
          <w:color w:val="auto"/>
          <w:sz w:val="24"/>
          <w:szCs w:val="21"/>
          <w:highlight w:val="none"/>
          <w:lang w:val="en-US" w:eastAsia="zh-CN" w:bidi="ar-SA"/>
        </w:rPr>
        <w:t>/A</w:t>
      </w:r>
      <w:r>
        <w:rPr>
          <w:rFonts w:hint="eastAsia" w:ascii="Times New Roman" w:hAnsi="Times New Roman" w:eastAsia="宋体" w:cs="Times New Roman"/>
          <w:color w:val="auto"/>
          <w:sz w:val="24"/>
          <w:szCs w:val="21"/>
          <w:highlight w:val="none"/>
          <w:lang w:val="en-US" w:eastAsia="zh-CN" w:bidi="ar-SA"/>
        </w:rPr>
        <w:t>。</w:t>
      </w:r>
    </w:p>
    <w:p w14:paraId="5A45DD95">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7.纸张尺寸范围：340mm×550mm至90mm×148mm。</w:t>
      </w:r>
    </w:p>
    <w:p w14:paraId="4552923E">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8.内存：≥4G，硬盘：≥500G。</w:t>
      </w:r>
    </w:p>
    <w:p w14:paraId="0BC12AB2">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9.适用纸张重量：50gsm至200gsm。</w:t>
      </w:r>
    </w:p>
    <w:p w14:paraId="0C8F9DCC">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10.供纸容量：≥2000张。</w:t>
      </w:r>
    </w:p>
    <w:p w14:paraId="7CA5583F">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11.环保要求：印刷过程不会产生高温、臭氧及有毒、有害气体。</w:t>
      </w:r>
    </w:p>
    <w:p w14:paraId="6E37717A">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12.设备能够适应5天*12小时不停机连续工作。</w:t>
      </w:r>
    </w:p>
    <w:p w14:paraId="60095A9E">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13.装订：能实现角订、8K和A3边订、打孔和骑马（鞍式）装订。</w:t>
      </w:r>
    </w:p>
    <w:p w14:paraId="61E63EA1">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w:t>
      </w:r>
      <w:r>
        <w:rPr>
          <w:rFonts w:hint="eastAsia" w:ascii="Times New Roman" w:hAnsi="Times New Roman" w:eastAsia="宋体" w:cs="Times New Roman"/>
          <w:color w:val="auto"/>
          <w:sz w:val="24"/>
          <w:szCs w:val="21"/>
          <w:highlight w:val="none"/>
          <w:lang w:val="en-US" w:eastAsia="zh-CN" w:bidi="ar-SA"/>
        </w:rPr>
        <w:t>14.骑马钉制作</w:t>
      </w:r>
      <w:bookmarkStart w:id="1" w:name="_Hlk211327943"/>
      <w:r>
        <w:rPr>
          <w:rFonts w:hint="eastAsia" w:ascii="Times New Roman" w:hAnsi="Times New Roman" w:eastAsia="宋体" w:cs="Times New Roman"/>
          <w:color w:val="auto"/>
          <w:sz w:val="24"/>
          <w:szCs w:val="21"/>
          <w:highlight w:val="none"/>
          <w:lang w:val="en-US" w:eastAsia="zh-CN" w:bidi="ar-SA"/>
        </w:rPr>
        <w:t>≥</w:t>
      </w:r>
      <w:bookmarkEnd w:id="1"/>
      <w:r>
        <w:rPr>
          <w:rFonts w:hint="default" w:ascii="Times New Roman" w:hAnsi="Times New Roman" w:eastAsia="宋体" w:cs="Times New Roman"/>
          <w:color w:val="auto"/>
          <w:sz w:val="24"/>
          <w:szCs w:val="21"/>
          <w:highlight w:val="none"/>
          <w:lang w:val="en-US" w:eastAsia="zh-CN" w:bidi="ar-SA"/>
        </w:rPr>
        <w:t>20</w:t>
      </w:r>
      <w:r>
        <w:rPr>
          <w:rFonts w:hint="eastAsia" w:ascii="Times New Roman" w:hAnsi="Times New Roman" w:eastAsia="宋体" w:cs="Times New Roman"/>
          <w:color w:val="auto"/>
          <w:sz w:val="24"/>
          <w:szCs w:val="21"/>
          <w:highlight w:val="none"/>
          <w:lang w:val="en-US" w:eastAsia="zh-CN" w:bidi="ar-SA"/>
        </w:rPr>
        <w:t>张（</w:t>
      </w:r>
      <w:r>
        <w:rPr>
          <w:rFonts w:hint="default" w:ascii="Times New Roman" w:hAnsi="Times New Roman" w:eastAsia="宋体" w:cs="Times New Roman"/>
          <w:color w:val="auto"/>
          <w:sz w:val="24"/>
          <w:szCs w:val="21"/>
          <w:highlight w:val="none"/>
          <w:lang w:val="en-US" w:eastAsia="zh-CN" w:bidi="ar-SA"/>
        </w:rPr>
        <w:t>8</w:t>
      </w:r>
      <w:r>
        <w:rPr>
          <w:rFonts w:hint="eastAsia" w:ascii="Times New Roman" w:hAnsi="Times New Roman" w:eastAsia="宋体" w:cs="Times New Roman"/>
          <w:color w:val="auto"/>
          <w:sz w:val="24"/>
          <w:szCs w:val="21"/>
          <w:highlight w:val="none"/>
          <w:lang w:val="en-US" w:eastAsia="zh-CN" w:bidi="ar-SA"/>
        </w:rPr>
        <w:t>0页码），平钉、角钉制作≥100张。</w:t>
      </w:r>
    </w:p>
    <w:p w14:paraId="58FDA185">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15.收纸部分：具有电子自动分页、错位堆叠功能。</w:t>
      </w:r>
    </w:p>
    <w:p w14:paraId="152A4EE6">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16.装订文档：一台设备彩色化一次性输出成册。</w:t>
      </w:r>
    </w:p>
    <w:p w14:paraId="13219065">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17.设备组成应包括主机、进稿器、装订器。</w:t>
      </w:r>
    </w:p>
    <w:p w14:paraId="09AD2712">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★18.集中印务管理：</w:t>
      </w:r>
    </w:p>
    <w:p w14:paraId="52C08FBD">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（1）兼容电子签章系统，具备传统数字化工作流程基础功能。</w:t>
      </w:r>
    </w:p>
    <w:p w14:paraId="40573A53">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（2）产品模型：以工艺模板为中心，最大可能简化用户的操作。</w:t>
      </w:r>
    </w:p>
    <w:p w14:paraId="6D6554DF">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（3）全自动流程工作模式：根据工艺模板，自动适配打印设备，自动对用户作业进行拼版、可变数据合成、格栅化处理。</w:t>
      </w:r>
    </w:p>
    <w:p w14:paraId="6375DD3B">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（4）可变数据应用：具备基于工艺模板的可变数据设计系统。</w:t>
      </w:r>
    </w:p>
    <w:p w14:paraId="3BB501C4">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（5）多种任务提交方式：具备网页打印、虚拟打印机等不同的打印方式。</w:t>
      </w:r>
    </w:p>
    <w:p w14:paraId="2A11942C">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（6）可配置的多</w:t>
      </w:r>
      <w:bookmarkStart w:id="2" w:name="OLE_LINK2"/>
      <w:bookmarkStart w:id="3" w:name="OLE_LINK3"/>
      <w:bookmarkStart w:id="4" w:name="OLE_LINK1"/>
      <w:r>
        <w:rPr>
          <w:rFonts w:hint="eastAsia" w:ascii="Times New Roman" w:hAnsi="Times New Roman" w:eastAsia="宋体" w:cs="Times New Roman"/>
          <w:color w:val="auto"/>
          <w:sz w:val="24"/>
          <w:szCs w:val="21"/>
          <w:highlight w:val="none"/>
          <w:lang w:val="en-US" w:eastAsia="zh-CN" w:bidi="ar-SA"/>
        </w:rPr>
        <w:t>RIP处理器</w:t>
      </w:r>
      <w:bookmarkEnd w:id="2"/>
      <w:bookmarkEnd w:id="3"/>
      <w:bookmarkEnd w:id="4"/>
      <w:r>
        <w:rPr>
          <w:rFonts w:hint="eastAsia" w:ascii="Times New Roman" w:hAnsi="Times New Roman" w:eastAsia="宋体" w:cs="Times New Roman"/>
          <w:color w:val="auto"/>
          <w:sz w:val="24"/>
          <w:szCs w:val="21"/>
          <w:highlight w:val="none"/>
          <w:lang w:val="en-US" w:eastAsia="zh-CN" w:bidi="ar-SA"/>
        </w:rPr>
        <w:t>及末端VDP合成处理器，适合多数字印刷机高速生产要求。</w:t>
      </w:r>
    </w:p>
    <w:p w14:paraId="7F6E18E6">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（7）可针对喷墨印刷机的色彩/文字/图形渲染进行优化。</w:t>
      </w:r>
    </w:p>
    <w:p w14:paraId="3DBE233F">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（8）具有用户文档审核打印功能。</w:t>
      </w:r>
    </w:p>
    <w:p w14:paraId="425AECBF">
      <w:pPr>
        <w:pStyle w:val="6"/>
        <w:keepNext w:val="0"/>
        <w:keepLines w:val="0"/>
        <w:pageBreakBefore w:val="0"/>
        <w:widowControl w:val="0"/>
        <w:spacing w:line="360" w:lineRule="auto"/>
        <w:ind w:right="0" w:firstLine="480"/>
        <w:rPr>
          <w:rFonts w:hint="default"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（9）对接国产操作系统，B/S架构。</w:t>
      </w:r>
    </w:p>
    <w:p w14:paraId="37BE051A">
      <w:pPr>
        <w:pStyle w:val="6"/>
        <w:keepNext w:val="0"/>
        <w:keepLines w:val="0"/>
        <w:pageBreakBefore w:val="0"/>
        <w:widowControl w:val="0"/>
        <w:spacing w:line="360" w:lineRule="auto"/>
        <w:ind w:right="0" w:firstLine="480"/>
        <w:rPr>
          <w:rFonts w:hint="eastAsia" w:ascii="宋体" w:hAnsi="宋体" w:eastAsia="宋体" w:cs="宋体"/>
          <w:b/>
          <w:bCs/>
          <w:color w:val="auto"/>
          <w:sz w:val="24"/>
          <w:szCs w:val="21"/>
          <w:highlight w:val="none"/>
          <w:lang w:val="en-US" w:eastAsia="zh-CN" w:bidi="ar-SA"/>
        </w:rPr>
      </w:pPr>
      <w:r>
        <w:rPr>
          <w:rFonts w:hint="eastAsia" w:ascii="宋体" w:hAnsi="宋体" w:eastAsia="宋体" w:cs="宋体"/>
          <w:b/>
          <w:bCs/>
          <w:color w:val="auto"/>
          <w:sz w:val="24"/>
          <w:szCs w:val="21"/>
          <w:highlight w:val="none"/>
          <w:lang w:val="en-US" w:eastAsia="zh-CN" w:bidi="ar-SA"/>
        </w:rPr>
        <w:t>（提供相关证明材料）</w:t>
      </w:r>
    </w:p>
    <w:p w14:paraId="1D52DE66">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w:t>
      </w:r>
      <w:r>
        <w:rPr>
          <w:rFonts w:hint="eastAsia" w:ascii="Times New Roman" w:hAnsi="Times New Roman" w:eastAsia="宋体" w:cs="Times New Roman"/>
          <w:color w:val="auto"/>
          <w:sz w:val="24"/>
          <w:szCs w:val="21"/>
          <w:highlight w:val="none"/>
          <w:lang w:val="en-US" w:eastAsia="zh-CN" w:bidi="ar-SA"/>
        </w:rPr>
        <w:t>19.原厂质保3年/300万张，中标后提供设备原厂质保服务承诺函。</w:t>
      </w:r>
    </w:p>
    <w:p w14:paraId="2BFCB8B6">
      <w:pPr>
        <w:pStyle w:val="6"/>
        <w:keepNext w:val="0"/>
        <w:keepLines w:val="0"/>
        <w:pageBreakBefore w:val="0"/>
        <w:widowControl w:val="0"/>
        <w:spacing w:line="360" w:lineRule="auto"/>
        <w:ind w:right="0" w:firstLine="480"/>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注：★部分为实质性要求，不接受负偏离。否则，作为无效标处理。</w:t>
      </w:r>
    </w:p>
    <w:p w14:paraId="4B7A2E04">
      <w:pPr>
        <w:pStyle w:val="6"/>
        <w:keepNext w:val="0"/>
        <w:keepLines w:val="0"/>
        <w:pageBreakBefore w:val="0"/>
        <w:widowControl w:val="0"/>
        <w:spacing w:line="360" w:lineRule="auto"/>
        <w:ind w:right="0" w:firstLine="482"/>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五、</w:t>
      </w:r>
      <w:r>
        <w:rPr>
          <w:rFonts w:hint="eastAsia" w:ascii="Times New Roman" w:hAnsi="Times New Roman" w:cs="Times New Roman"/>
          <w:b/>
          <w:bCs/>
          <w:color w:val="auto"/>
          <w:sz w:val="24"/>
          <w:szCs w:val="21"/>
          <w:highlight w:val="none"/>
          <w:lang w:val="en-US" w:eastAsia="zh-CN" w:bidi="ar-SA"/>
        </w:rPr>
        <w:t>培训</w:t>
      </w:r>
      <w:r>
        <w:rPr>
          <w:rFonts w:hint="eastAsia" w:ascii="Times New Roman" w:hAnsi="Times New Roman" w:eastAsia="宋体" w:cs="Times New Roman"/>
          <w:b/>
          <w:bCs/>
          <w:color w:val="auto"/>
          <w:sz w:val="24"/>
          <w:szCs w:val="21"/>
          <w:highlight w:val="none"/>
          <w:lang w:val="en-US" w:eastAsia="zh-CN" w:bidi="ar-SA"/>
        </w:rPr>
        <w:t>要求</w:t>
      </w:r>
    </w:p>
    <w:p w14:paraId="6CBE2D64">
      <w:pPr>
        <w:pStyle w:val="6"/>
        <w:keepNext w:val="0"/>
        <w:keepLines w:val="0"/>
        <w:pageBreakBefore w:val="0"/>
        <w:widowControl w:val="0"/>
        <w:spacing w:line="360" w:lineRule="auto"/>
        <w:ind w:right="0" w:firstLine="482"/>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根据该项目提供符合采购人情况的培训服务方案。包括培训内容、培训时间、培训地点、培训目标、培训人数、培训方法等。要求：人员的操作培训和售后培训以及采购人所需的技术支持。承诺完善、具体合理、服务时间长、有明确、具体可行的培训方案和措施，保证采购人能熟练操作和正常使用、具有技术支持的能力并且有明确、合理、可行的支持方案。</w:t>
      </w:r>
    </w:p>
    <w:p w14:paraId="11D390DB">
      <w:pPr>
        <w:pStyle w:val="6"/>
        <w:keepNext w:val="0"/>
        <w:keepLines w:val="0"/>
        <w:pageBreakBefore w:val="0"/>
        <w:widowControl w:val="0"/>
        <w:spacing w:line="360" w:lineRule="auto"/>
        <w:ind w:right="0" w:firstLine="482"/>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六、</w:t>
      </w:r>
      <w:r>
        <w:rPr>
          <w:rFonts w:hint="eastAsia" w:ascii="Times New Roman" w:hAnsi="Times New Roman" w:cs="Times New Roman"/>
          <w:b/>
          <w:bCs/>
          <w:color w:val="auto"/>
          <w:sz w:val="24"/>
          <w:szCs w:val="21"/>
          <w:highlight w:val="none"/>
          <w:lang w:val="en-US" w:eastAsia="zh-CN" w:bidi="ar-SA"/>
        </w:rPr>
        <w:t>售后</w:t>
      </w:r>
      <w:r>
        <w:rPr>
          <w:rFonts w:hint="eastAsia" w:ascii="Times New Roman" w:hAnsi="Times New Roman" w:eastAsia="宋体" w:cs="Times New Roman"/>
          <w:b/>
          <w:bCs/>
          <w:color w:val="auto"/>
          <w:sz w:val="24"/>
          <w:szCs w:val="21"/>
          <w:highlight w:val="none"/>
          <w:lang w:val="en-US" w:eastAsia="zh-CN" w:bidi="ar-SA"/>
        </w:rPr>
        <w:t>要求</w:t>
      </w:r>
    </w:p>
    <w:p w14:paraId="4FF8D138">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1、中标人对所售出的产品实行三包：</w:t>
      </w:r>
      <w:r>
        <w:rPr>
          <w:rFonts w:hint="eastAsia" w:ascii="Times New Roman" w:hAnsi="Times New Roman" w:eastAsia="宋体" w:cs="Times New Roman"/>
          <w:color w:val="auto"/>
          <w:sz w:val="24"/>
          <w:szCs w:val="21"/>
          <w:highlight w:val="none"/>
          <w:lang w:val="en-US" w:eastAsia="zh-CN" w:bidi="ar-SA"/>
        </w:rPr>
        <w:t>售后服务期限为</w:t>
      </w:r>
      <w:r>
        <w:rPr>
          <w:rFonts w:hint="eastAsia" w:ascii="Times New Roman" w:hAnsi="Times New Roman" w:cs="Times New Roman"/>
          <w:color w:val="auto"/>
          <w:sz w:val="24"/>
          <w:szCs w:val="21"/>
          <w:highlight w:val="none"/>
          <w:lang w:val="en-US" w:eastAsia="zh-CN" w:bidi="ar-SA"/>
        </w:rPr>
        <w:t>3</w:t>
      </w:r>
      <w:r>
        <w:rPr>
          <w:rFonts w:hint="eastAsia" w:ascii="Times New Roman" w:hAnsi="Times New Roman" w:eastAsia="宋体" w:cs="Times New Roman"/>
          <w:color w:val="auto"/>
          <w:sz w:val="24"/>
          <w:szCs w:val="21"/>
          <w:highlight w:val="none"/>
          <w:lang w:val="en-US" w:eastAsia="zh-CN" w:bidi="ar-SA"/>
        </w:rPr>
        <w:t>年/300万张（自验收合格之日起计算）</w:t>
      </w:r>
      <w:r>
        <w:rPr>
          <w:rFonts w:hint="eastAsia" w:ascii="Times New Roman" w:hAnsi="Times New Roman" w:eastAsia="宋体" w:cs="Times New Roman"/>
          <w:color w:val="auto"/>
          <w:sz w:val="24"/>
          <w:szCs w:val="21"/>
          <w:highlight w:val="none"/>
          <w:lang w:val="en-US" w:eastAsia="zh-CN" w:bidi="ar-SA"/>
        </w:rPr>
        <w:t>，即产品在正常使用情况下发生质量问题时，供方应按使用方的要求，负责对产品实行包修、包换、包退。</w:t>
      </w:r>
    </w:p>
    <w:p w14:paraId="36930809">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2、供方应严格按照标书的有关规定提供合格商品，保证货物为全新、未使用的原装正品，货物上均有合格证，包括品牌的有关标志；一旦发生质量问题，中标人需在8小时内响应，并保证在接到通知24小时内到现场进行更换或退货，费用由中标人负责。如中标人在接到通知工作日的24小时内没有答复或处理问题，则视为中标人承认质量问题并承担由此而发生的一切费用。</w:t>
      </w:r>
    </w:p>
    <w:p w14:paraId="53C618D8">
      <w:pPr>
        <w:pStyle w:val="6"/>
        <w:keepNext w:val="0"/>
        <w:keepLines w:val="0"/>
        <w:pageBreakBefore w:val="0"/>
        <w:widowControl w:val="0"/>
        <w:spacing w:line="360" w:lineRule="auto"/>
        <w:ind w:right="0" w:firstLine="482"/>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七、验收要求</w:t>
      </w:r>
    </w:p>
    <w:p w14:paraId="1C30B6C6">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1、投标人货物送达后，采购方对其数量、规格、运输保存方式等进行检查验收，如不合格应无条件退货或换货。</w:t>
      </w:r>
    </w:p>
    <w:p w14:paraId="4AE4F533">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2、若因中标人原因造成无法验收通过的，采购人将拒绝付款，并追究中标人的违约责任。</w:t>
      </w:r>
    </w:p>
    <w:p w14:paraId="12899BAE">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3、合同履行期满，中标人向采购人提交项目验收技术资料</w:t>
      </w:r>
      <w:r>
        <w:rPr>
          <w:rFonts w:hint="eastAsia" w:ascii="Times New Roman" w:hAnsi="Times New Roman" w:cs="Times New Roman"/>
          <w:color w:val="auto"/>
          <w:sz w:val="24"/>
          <w:szCs w:val="21"/>
          <w:highlight w:val="none"/>
          <w:lang w:val="en-US" w:eastAsia="zh-CN" w:bidi="ar-SA"/>
        </w:rPr>
        <w:t>以及验收申请单</w:t>
      </w:r>
      <w:r>
        <w:rPr>
          <w:rFonts w:hint="eastAsia" w:ascii="Times New Roman" w:hAnsi="Times New Roman" w:eastAsia="宋体" w:cs="Times New Roman"/>
          <w:color w:val="auto"/>
          <w:sz w:val="24"/>
          <w:szCs w:val="21"/>
          <w:highlight w:val="none"/>
          <w:lang w:val="en-US" w:eastAsia="zh-CN" w:bidi="ar-SA"/>
        </w:rPr>
        <w:t>，采购人收到</w:t>
      </w:r>
      <w:r>
        <w:rPr>
          <w:rFonts w:hint="eastAsia" w:ascii="Times New Roman" w:hAnsi="Times New Roman" w:cs="Times New Roman"/>
          <w:color w:val="auto"/>
          <w:sz w:val="24"/>
          <w:szCs w:val="21"/>
          <w:highlight w:val="none"/>
          <w:lang w:val="en-US" w:eastAsia="zh-CN" w:bidi="ar-SA"/>
        </w:rPr>
        <w:t>验收</w:t>
      </w:r>
      <w:r>
        <w:rPr>
          <w:rFonts w:hint="eastAsia" w:ascii="Times New Roman" w:hAnsi="Times New Roman" w:eastAsia="宋体" w:cs="Times New Roman"/>
          <w:color w:val="auto"/>
          <w:sz w:val="24"/>
          <w:szCs w:val="21"/>
          <w:highlight w:val="none"/>
          <w:lang w:val="en-US" w:eastAsia="zh-CN" w:bidi="ar-SA"/>
        </w:rPr>
        <w:t>申请后3个工作日内组织验收</w:t>
      </w:r>
      <w:r>
        <w:rPr>
          <w:rFonts w:hint="eastAsia" w:ascii="Times New Roman" w:hAnsi="Times New Roman" w:cs="Times New Roman"/>
          <w:color w:val="auto"/>
          <w:sz w:val="24"/>
          <w:szCs w:val="21"/>
          <w:highlight w:val="none"/>
          <w:lang w:val="en-US" w:eastAsia="zh-CN" w:bidi="ar-SA"/>
        </w:rPr>
        <w:t>，验收合格后付清余款</w:t>
      </w:r>
      <w:r>
        <w:rPr>
          <w:rFonts w:hint="eastAsia" w:ascii="Times New Roman" w:hAnsi="Times New Roman" w:eastAsia="宋体" w:cs="Times New Roman"/>
          <w:color w:val="auto"/>
          <w:sz w:val="24"/>
          <w:szCs w:val="21"/>
          <w:highlight w:val="none"/>
          <w:lang w:val="en-US" w:eastAsia="zh-CN" w:bidi="ar-SA"/>
        </w:rPr>
        <w:t>。</w:t>
      </w:r>
    </w:p>
    <w:p w14:paraId="799AEBD9">
      <w:pPr>
        <w:pStyle w:val="6"/>
        <w:keepNext w:val="0"/>
        <w:keepLines w:val="0"/>
        <w:pageBreakBefore w:val="0"/>
        <w:widowControl w:val="0"/>
        <w:spacing w:line="360" w:lineRule="auto"/>
        <w:ind w:right="0" w:firstLine="482"/>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八、项目实施要求</w:t>
      </w:r>
    </w:p>
    <w:p w14:paraId="513BE414">
      <w:pPr>
        <w:pStyle w:val="6"/>
        <w:keepNext w:val="0"/>
        <w:keepLines w:val="0"/>
        <w:pageBreakBefore w:val="0"/>
        <w:widowControl w:val="0"/>
        <w:spacing w:line="360" w:lineRule="auto"/>
        <w:ind w:right="0" w:firstLine="480"/>
        <w:rPr>
          <w:rFonts w:hint="eastAsia" w:ascii="Times New Roman" w:hAnsi="Times New Roman" w:eastAsia="宋体" w:cs="Times New Roman"/>
          <w:b w:val="0"/>
          <w:bCs w:val="0"/>
          <w:color w:val="auto"/>
          <w:sz w:val="24"/>
          <w:szCs w:val="21"/>
          <w:highlight w:val="none"/>
          <w:lang w:val="en-US" w:eastAsia="zh-CN" w:bidi="ar-SA"/>
        </w:rPr>
      </w:pPr>
      <w:r>
        <w:rPr>
          <w:rFonts w:hint="eastAsia" w:ascii="Times New Roman" w:hAnsi="Times New Roman" w:eastAsia="宋体" w:cs="Times New Roman"/>
          <w:b w:val="0"/>
          <w:bCs w:val="0"/>
          <w:color w:val="auto"/>
          <w:sz w:val="24"/>
          <w:szCs w:val="21"/>
          <w:highlight w:val="none"/>
          <w:lang w:val="en-US" w:eastAsia="zh-CN" w:bidi="ar-SA"/>
        </w:rPr>
        <w:t>投标人应在投标文件中提供完备的项目实施方案，包含系统实施需求、实施计划与进度、质量保证、进度实施计划、系统故障及应急处理措施、安全审查和保密要求，风险预防及控制措施方案等。</w:t>
      </w:r>
    </w:p>
    <w:p w14:paraId="793CEEF1">
      <w:pPr>
        <w:pStyle w:val="6"/>
        <w:keepNext w:val="0"/>
        <w:keepLines w:val="0"/>
        <w:pageBreakBefore w:val="0"/>
        <w:widowControl w:val="0"/>
        <w:spacing w:line="360" w:lineRule="auto"/>
        <w:ind w:right="0" w:firstLine="482"/>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九、节能环保要求</w:t>
      </w:r>
    </w:p>
    <w:p w14:paraId="5D83A528">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对照财库〔2019〕9号、财库〔2019〕19号文件规定，供应商所投产品属于强制采购产品的，应提供国家市场监督管理局确定的</w:t>
      </w:r>
      <w:bookmarkStart w:id="5" w:name="_GoBack"/>
      <w:bookmarkEnd w:id="5"/>
      <w:r>
        <w:rPr>
          <w:rFonts w:hint="eastAsia" w:ascii="Times New Roman" w:hAnsi="Times New Roman" w:eastAsia="宋体" w:cs="Times New Roman"/>
          <w:color w:val="auto"/>
          <w:sz w:val="24"/>
          <w:szCs w:val="21"/>
          <w:highlight w:val="none"/>
          <w:lang w:val="en-US" w:eastAsia="zh-CN" w:bidi="ar-SA"/>
        </w:rPr>
        <w:t>列入“参与实施政府采购节能产品认证机构名录”内的认证机构出具的、有效期内的该产品的节能产品认证证书电子件，不满足以上要求的按无效标处理。</w:t>
      </w:r>
    </w:p>
    <w:p w14:paraId="1FD9FF53">
      <w:pPr>
        <w:pStyle w:val="6"/>
        <w:keepNext w:val="0"/>
        <w:keepLines w:val="0"/>
        <w:pageBreakBefore w:val="0"/>
        <w:widowControl w:val="0"/>
        <w:spacing w:line="360" w:lineRule="auto"/>
        <w:ind w:right="0" w:firstLine="480"/>
        <w:rPr>
          <w:rFonts w:hint="eastAsia" w:ascii="Times New Roman" w:hAnsi="Times New Roman" w:eastAsia="宋体" w:cs="Times New Roman"/>
          <w:b/>
          <w:bCs/>
          <w:color w:val="auto"/>
          <w:sz w:val="24"/>
          <w:szCs w:val="21"/>
          <w:highlight w:val="none"/>
          <w:lang w:val="en-US" w:eastAsia="zh-CN" w:bidi="ar-SA"/>
        </w:rPr>
      </w:pPr>
      <w:r>
        <w:rPr>
          <w:rFonts w:hint="eastAsia" w:ascii="Times New Roman" w:hAnsi="Times New Roman" w:eastAsia="宋体" w:cs="Times New Roman"/>
          <w:b/>
          <w:bCs/>
          <w:color w:val="auto"/>
          <w:sz w:val="24"/>
          <w:szCs w:val="21"/>
          <w:highlight w:val="none"/>
          <w:lang w:val="en-US" w:eastAsia="zh-CN" w:bidi="ar-SA"/>
        </w:rPr>
        <w:t>十、商品包装环保要求</w:t>
      </w:r>
    </w:p>
    <w:p w14:paraId="51F7EFD9">
      <w:pPr>
        <w:pStyle w:val="6"/>
        <w:keepNext w:val="0"/>
        <w:keepLines w:val="0"/>
        <w:pageBreakBefore w:val="0"/>
        <w:widowControl w:val="0"/>
        <w:spacing w:line="360" w:lineRule="auto"/>
        <w:ind w:right="0" w:firstLine="480"/>
        <w:rPr>
          <w:rFonts w:hint="eastAsia" w:ascii="Times New Roman" w:hAnsi="Times New Roman" w:eastAsia="宋体" w:cs="Times New Roman"/>
          <w:color w:val="auto"/>
          <w:sz w:val="24"/>
          <w:szCs w:val="21"/>
          <w:highlight w:val="none"/>
          <w:lang w:val="en-US" w:eastAsia="zh-CN" w:bidi="ar-SA"/>
        </w:rPr>
      </w:pPr>
      <w:r>
        <w:rPr>
          <w:rFonts w:hint="eastAsia" w:ascii="Times New Roman" w:hAnsi="Times New Roman" w:eastAsia="宋体" w:cs="Times New Roman"/>
          <w:color w:val="auto"/>
          <w:sz w:val="24"/>
          <w:szCs w:val="21"/>
          <w:highlight w:val="none"/>
          <w:lang w:val="en-US" w:eastAsia="zh-CN" w:bidi="ar-SA"/>
        </w:rPr>
        <w:t xml:space="preserve">1、商品包装层数不得超过 3 层，空隙率不大于 40%； </w:t>
      </w:r>
    </w:p>
    <w:p w14:paraId="26B3D1E3">
      <w:pPr>
        <w:pStyle w:val="6"/>
        <w:keepNext w:val="0"/>
        <w:keepLines w:val="0"/>
        <w:pageBreakBefore w:val="0"/>
        <w:widowControl w:val="0"/>
        <w:spacing w:line="360" w:lineRule="auto"/>
        <w:ind w:right="0" w:firstLine="480"/>
        <w:rPr>
          <w:rFonts w:hint="eastAsia"/>
          <w:color w:val="auto"/>
          <w:sz w:val="24"/>
          <w:szCs w:val="24"/>
          <w:highlight w:val="none"/>
        </w:rPr>
      </w:pPr>
      <w:r>
        <w:rPr>
          <w:rFonts w:hint="eastAsia" w:ascii="Times New Roman" w:hAnsi="Times New Roman" w:eastAsia="宋体" w:cs="Times New Roman"/>
          <w:color w:val="auto"/>
          <w:sz w:val="24"/>
          <w:szCs w:val="21"/>
          <w:highlight w:val="none"/>
          <w:lang w:val="en-US" w:eastAsia="zh-CN" w:bidi="ar-SA"/>
        </w:rPr>
        <w:t>2、商品包装尽可能使用单一材质的包装材料，如因功能需求必需</w:t>
      </w:r>
      <w:r>
        <w:rPr>
          <w:rFonts w:hint="eastAsia"/>
          <w:color w:val="auto"/>
          <w:sz w:val="24"/>
          <w:szCs w:val="24"/>
          <w:highlight w:val="none"/>
        </w:rPr>
        <w:t xml:space="preserve">使用不同材质，不同材质间应便于分离； </w:t>
      </w:r>
    </w:p>
    <w:p w14:paraId="73E5E629">
      <w:pPr>
        <w:spacing w:line="560" w:lineRule="exact"/>
        <w:ind w:firstLine="480"/>
        <w:rPr>
          <w:rFonts w:hint="eastAsia"/>
          <w:color w:val="auto"/>
          <w:sz w:val="24"/>
          <w:szCs w:val="24"/>
          <w:highlight w:val="none"/>
        </w:rPr>
      </w:pPr>
      <w:r>
        <w:rPr>
          <w:rFonts w:hint="eastAsia"/>
          <w:color w:val="auto"/>
          <w:sz w:val="24"/>
          <w:szCs w:val="24"/>
          <w:highlight w:val="none"/>
        </w:rPr>
        <w:t xml:space="preserve">3、商品包装中铅、汞、镉、六价铬的总含量应不大于100mg/kg； </w:t>
      </w:r>
    </w:p>
    <w:p w14:paraId="63026A1F">
      <w:pPr>
        <w:spacing w:line="560" w:lineRule="exact"/>
        <w:ind w:firstLine="480"/>
        <w:rPr>
          <w:rFonts w:hint="eastAsia"/>
          <w:color w:val="auto"/>
          <w:sz w:val="24"/>
          <w:szCs w:val="24"/>
          <w:highlight w:val="none"/>
        </w:rPr>
      </w:pPr>
      <w:r>
        <w:rPr>
          <w:rFonts w:hint="eastAsia"/>
          <w:color w:val="auto"/>
          <w:sz w:val="24"/>
          <w:szCs w:val="24"/>
          <w:highlight w:val="none"/>
        </w:rPr>
        <w:t xml:space="preserve">4、商品包装印刷使用的油墨中挥发性有机化合物(VOCs) 含量应不大于 5%（以重量计）； </w:t>
      </w:r>
    </w:p>
    <w:p w14:paraId="0450CCC1">
      <w:pPr>
        <w:spacing w:line="560" w:lineRule="exact"/>
        <w:ind w:firstLine="480"/>
        <w:rPr>
          <w:rFonts w:hint="eastAsia"/>
          <w:color w:val="auto"/>
          <w:sz w:val="24"/>
          <w:szCs w:val="24"/>
          <w:highlight w:val="none"/>
        </w:rPr>
      </w:pPr>
      <w:r>
        <w:rPr>
          <w:rFonts w:hint="eastAsia"/>
          <w:color w:val="auto"/>
          <w:sz w:val="24"/>
          <w:szCs w:val="24"/>
          <w:highlight w:val="none"/>
        </w:rPr>
        <w:t xml:space="preserve">5、塑料材质商品包装上呈现的印刷颜色不得超过6色； </w:t>
      </w:r>
    </w:p>
    <w:p w14:paraId="3E3E1F66">
      <w:pPr>
        <w:spacing w:line="560" w:lineRule="exact"/>
        <w:ind w:firstLine="480"/>
        <w:rPr>
          <w:rFonts w:hint="eastAsia"/>
          <w:color w:val="auto"/>
          <w:sz w:val="24"/>
          <w:szCs w:val="24"/>
          <w:highlight w:val="none"/>
        </w:rPr>
      </w:pPr>
      <w:r>
        <w:rPr>
          <w:rFonts w:hint="eastAsia"/>
          <w:color w:val="auto"/>
          <w:sz w:val="24"/>
          <w:szCs w:val="24"/>
          <w:highlight w:val="none"/>
        </w:rPr>
        <w:t xml:space="preserve">6、纸质商品包装应使用75%以上的可再生纤维原料生产； </w:t>
      </w:r>
    </w:p>
    <w:p w14:paraId="1F7DEC73">
      <w:pPr>
        <w:spacing w:line="560" w:lineRule="exact"/>
        <w:ind w:firstLine="480"/>
        <w:rPr>
          <w:rFonts w:hint="eastAsia"/>
          <w:color w:val="auto"/>
          <w:sz w:val="24"/>
          <w:szCs w:val="24"/>
          <w:highlight w:val="none"/>
        </w:rPr>
      </w:pPr>
      <w:r>
        <w:rPr>
          <w:rFonts w:hint="eastAsia"/>
          <w:color w:val="auto"/>
          <w:sz w:val="24"/>
          <w:szCs w:val="24"/>
          <w:highlight w:val="none"/>
        </w:rPr>
        <w:t xml:space="preserve">7、木质商品包装的原料应来源于可持续性森林。 </w:t>
      </w:r>
    </w:p>
    <w:p w14:paraId="4710894A">
      <w:pPr>
        <w:spacing w:line="560" w:lineRule="exact"/>
        <w:ind w:firstLine="480"/>
        <w:rPr>
          <w:rFonts w:hint="eastAsia"/>
          <w:color w:val="auto"/>
          <w:sz w:val="24"/>
          <w:szCs w:val="24"/>
          <w:highlight w:val="none"/>
        </w:rPr>
      </w:pPr>
      <w:r>
        <w:rPr>
          <w:rFonts w:hint="eastAsia"/>
          <w:color w:val="auto"/>
          <w:sz w:val="24"/>
          <w:szCs w:val="24"/>
          <w:highlight w:val="none"/>
        </w:rPr>
        <w:t>注：检测方法 1.商品包装中重金属（铅、汞、镉、六价铬）总量的检测按照 GB/T 10004-2008《包装用塑料复合膜、袋干法复合、挤出复合》规定的方法进行。2.商品包装印刷使用的油墨中挥发性有机化合物(VOCs) 的检测按照 GB/T 23986-2009《色漆和清漆挥发性有机化合物(VOC)含量的测定气相色谱法》规定的方法。</w:t>
      </w:r>
    </w:p>
    <w:p w14:paraId="4590008B">
      <w:pPr>
        <w:spacing w:line="560" w:lineRule="exact"/>
        <w:ind w:firstLine="482"/>
        <w:rPr>
          <w:rFonts w:hint="eastAsia"/>
          <w:b/>
          <w:bCs/>
          <w:color w:val="auto"/>
          <w:sz w:val="24"/>
          <w:szCs w:val="24"/>
          <w:highlight w:val="none"/>
        </w:rPr>
      </w:pPr>
      <w:r>
        <w:rPr>
          <w:rFonts w:hint="eastAsia"/>
          <w:b/>
          <w:bCs/>
          <w:color w:val="auto"/>
          <w:sz w:val="24"/>
          <w:szCs w:val="24"/>
          <w:highlight w:val="none"/>
        </w:rPr>
        <w:t>十</w:t>
      </w:r>
      <w:r>
        <w:rPr>
          <w:rFonts w:hint="eastAsia" w:eastAsia="宋体"/>
          <w:b/>
          <w:bCs/>
          <w:color w:val="auto"/>
          <w:sz w:val="24"/>
          <w:szCs w:val="24"/>
          <w:highlight w:val="none"/>
          <w:lang w:eastAsia="zh-CN"/>
        </w:rPr>
        <w:t>一</w:t>
      </w:r>
      <w:r>
        <w:rPr>
          <w:rFonts w:hint="eastAsia"/>
          <w:b/>
          <w:bCs/>
          <w:color w:val="auto"/>
          <w:sz w:val="24"/>
          <w:szCs w:val="24"/>
          <w:highlight w:val="none"/>
        </w:rPr>
        <w:t>、快递包装环保要求</w:t>
      </w:r>
    </w:p>
    <w:p w14:paraId="1D00469C">
      <w:pPr>
        <w:spacing w:line="560" w:lineRule="exact"/>
        <w:ind w:firstLine="480"/>
        <w:rPr>
          <w:rFonts w:hint="eastAsia"/>
          <w:color w:val="auto"/>
          <w:sz w:val="24"/>
          <w:szCs w:val="24"/>
          <w:highlight w:val="none"/>
        </w:rPr>
      </w:pPr>
      <w:r>
        <w:rPr>
          <w:rFonts w:hint="eastAsia"/>
          <w:color w:val="auto"/>
          <w:sz w:val="24"/>
          <w:szCs w:val="24"/>
          <w:highlight w:val="none"/>
        </w:rPr>
        <w:t>1、快递包装中重金属（铅、汞、镉、六价铬）总量应不大于100mg/kg；</w:t>
      </w:r>
    </w:p>
    <w:p w14:paraId="15EB01F0">
      <w:pPr>
        <w:spacing w:line="560" w:lineRule="exact"/>
        <w:ind w:firstLine="480"/>
        <w:rPr>
          <w:rFonts w:hint="eastAsia"/>
          <w:color w:val="auto"/>
          <w:sz w:val="24"/>
          <w:szCs w:val="24"/>
          <w:highlight w:val="none"/>
        </w:rPr>
      </w:pPr>
      <w:r>
        <w:rPr>
          <w:rFonts w:hint="eastAsia"/>
          <w:color w:val="auto"/>
          <w:sz w:val="24"/>
          <w:szCs w:val="24"/>
          <w:highlight w:val="none"/>
        </w:rPr>
        <w:t>2、快递包装印刷使用的油墨中不应添加邻苯二甲酸酯，其挥发性有机化合物(VOCs)含量应不大于5%（以重量计）；</w:t>
      </w:r>
    </w:p>
    <w:p w14:paraId="6F15AB89">
      <w:pPr>
        <w:spacing w:line="560" w:lineRule="exact"/>
        <w:ind w:firstLine="480"/>
        <w:rPr>
          <w:rFonts w:hint="eastAsia"/>
          <w:color w:val="auto"/>
          <w:sz w:val="24"/>
          <w:szCs w:val="24"/>
          <w:highlight w:val="none"/>
        </w:rPr>
      </w:pPr>
      <w:r>
        <w:rPr>
          <w:rFonts w:hint="eastAsia"/>
          <w:color w:val="auto"/>
          <w:sz w:val="24"/>
          <w:szCs w:val="24"/>
          <w:highlight w:val="none"/>
        </w:rPr>
        <w:t>3、快递包装中使用纸基材的包装材料，纸基材中的有机氯的含量应不大于150 mg/kg；</w:t>
      </w:r>
    </w:p>
    <w:p w14:paraId="7A3631F6">
      <w:pPr>
        <w:spacing w:line="560" w:lineRule="exact"/>
        <w:ind w:firstLine="480"/>
        <w:rPr>
          <w:rFonts w:hint="eastAsia"/>
          <w:color w:val="auto"/>
          <w:sz w:val="24"/>
          <w:szCs w:val="24"/>
          <w:highlight w:val="none"/>
        </w:rPr>
      </w:pPr>
      <w:r>
        <w:rPr>
          <w:rFonts w:hint="eastAsia"/>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447D4109">
      <w:pPr>
        <w:spacing w:line="560" w:lineRule="exact"/>
        <w:ind w:firstLine="480"/>
        <w:rPr>
          <w:rFonts w:hint="eastAsia"/>
          <w:color w:val="auto"/>
          <w:sz w:val="24"/>
          <w:szCs w:val="24"/>
          <w:highlight w:val="none"/>
        </w:rPr>
      </w:pPr>
      <w:r>
        <w:rPr>
          <w:rFonts w:hint="eastAsia"/>
          <w:color w:val="auto"/>
          <w:sz w:val="24"/>
          <w:szCs w:val="24"/>
          <w:highlight w:val="none"/>
        </w:rPr>
        <w:t>5、快递中使用的塑料包装袋不得使用聚氯乙烯作为原料，且原料应为单一材质制成，生物分解率大于60%；</w:t>
      </w:r>
    </w:p>
    <w:p w14:paraId="67EABE0E">
      <w:pPr>
        <w:spacing w:line="560" w:lineRule="exact"/>
        <w:ind w:firstLine="480"/>
        <w:rPr>
          <w:rFonts w:hint="eastAsia"/>
          <w:color w:val="auto"/>
          <w:sz w:val="24"/>
          <w:szCs w:val="24"/>
          <w:highlight w:val="none"/>
        </w:rPr>
      </w:pPr>
      <w:r>
        <w:rPr>
          <w:rFonts w:hint="eastAsia"/>
          <w:color w:val="auto"/>
          <w:sz w:val="24"/>
          <w:szCs w:val="24"/>
          <w:highlight w:val="none"/>
        </w:rPr>
        <w:t>6、快递中使用的充气类填充物不得使用聚氯乙烯作为原料，且原料为单一材质制成，生物分解率大于60%；</w:t>
      </w:r>
    </w:p>
    <w:p w14:paraId="399E06AE">
      <w:pPr>
        <w:spacing w:line="560" w:lineRule="exact"/>
        <w:ind w:firstLine="480"/>
        <w:rPr>
          <w:rFonts w:hint="eastAsia"/>
          <w:color w:val="auto"/>
          <w:sz w:val="24"/>
          <w:szCs w:val="24"/>
          <w:highlight w:val="none"/>
        </w:rPr>
      </w:pPr>
      <w:r>
        <w:rPr>
          <w:rFonts w:hint="eastAsia"/>
          <w:color w:val="auto"/>
          <w:sz w:val="24"/>
          <w:szCs w:val="24"/>
          <w:highlight w:val="none"/>
        </w:rPr>
        <w:t>7、快递中使用的集装袋应为单一材质制成，其重复使用次数应不小于80次；</w:t>
      </w:r>
    </w:p>
    <w:p w14:paraId="1FA83900">
      <w:pPr>
        <w:spacing w:line="560" w:lineRule="exact"/>
        <w:ind w:firstLine="480"/>
        <w:rPr>
          <w:rFonts w:hint="eastAsia"/>
          <w:color w:val="auto"/>
          <w:sz w:val="24"/>
          <w:szCs w:val="24"/>
          <w:highlight w:val="none"/>
        </w:rPr>
      </w:pPr>
      <w:r>
        <w:rPr>
          <w:rFonts w:hint="eastAsia"/>
          <w:color w:val="auto"/>
          <w:sz w:val="24"/>
          <w:szCs w:val="24"/>
          <w:highlight w:val="none"/>
        </w:rPr>
        <w:t>8、快递中应使用幅宽不大于45mm 的生物降解胶带；</w:t>
      </w:r>
    </w:p>
    <w:p w14:paraId="0697DE28">
      <w:pPr>
        <w:spacing w:line="560" w:lineRule="exact"/>
        <w:ind w:firstLine="480"/>
        <w:rPr>
          <w:rFonts w:hint="eastAsia"/>
          <w:color w:val="auto"/>
          <w:sz w:val="24"/>
          <w:szCs w:val="24"/>
          <w:highlight w:val="none"/>
        </w:rPr>
      </w:pPr>
      <w:r>
        <w:rPr>
          <w:rFonts w:hint="eastAsia"/>
          <w:color w:val="auto"/>
          <w:sz w:val="24"/>
          <w:szCs w:val="24"/>
          <w:highlight w:val="none"/>
        </w:rPr>
        <w:t>9、快递包装中不得使用溶剂型胶粘剂；</w:t>
      </w:r>
    </w:p>
    <w:p w14:paraId="696B90B3">
      <w:pPr>
        <w:spacing w:line="560" w:lineRule="exact"/>
        <w:ind w:firstLine="480"/>
        <w:rPr>
          <w:rFonts w:hint="eastAsia"/>
          <w:color w:val="auto"/>
          <w:sz w:val="24"/>
          <w:szCs w:val="24"/>
          <w:highlight w:val="none"/>
        </w:rPr>
      </w:pPr>
      <w:r>
        <w:rPr>
          <w:rFonts w:hint="eastAsia"/>
          <w:color w:val="auto"/>
          <w:sz w:val="24"/>
          <w:szCs w:val="24"/>
          <w:highlight w:val="none"/>
        </w:rPr>
        <w:t>10、快递应使用电子面单；</w:t>
      </w:r>
    </w:p>
    <w:p w14:paraId="4E1D6B0E">
      <w:pPr>
        <w:spacing w:line="560" w:lineRule="exact"/>
        <w:ind w:firstLine="480"/>
        <w:rPr>
          <w:rFonts w:hint="eastAsia"/>
          <w:color w:val="auto"/>
          <w:sz w:val="24"/>
          <w:szCs w:val="24"/>
          <w:highlight w:val="none"/>
        </w:rPr>
      </w:pPr>
      <w:r>
        <w:rPr>
          <w:rFonts w:hint="eastAsia"/>
          <w:color w:val="auto"/>
          <w:sz w:val="24"/>
          <w:szCs w:val="24"/>
          <w:highlight w:val="none"/>
        </w:rPr>
        <w:t>11、直接使用商品包装作为快递包装的商品，其商品包装满足《商品包装政府采购需求标准（试行）》即可；</w:t>
      </w:r>
    </w:p>
    <w:p w14:paraId="47991C87">
      <w:pPr>
        <w:spacing w:line="560" w:lineRule="exact"/>
        <w:ind w:firstLine="480"/>
        <w:rPr>
          <w:rFonts w:hint="eastAsia"/>
          <w:color w:val="auto"/>
          <w:sz w:val="24"/>
          <w:szCs w:val="24"/>
          <w:highlight w:val="none"/>
        </w:rPr>
      </w:pPr>
      <w:r>
        <w:rPr>
          <w:rFonts w:hint="eastAsia"/>
          <w:color w:val="auto"/>
          <w:sz w:val="24"/>
          <w:szCs w:val="24"/>
          <w:highlight w:val="none"/>
        </w:rPr>
        <w:t>12、快递包装产品质量和封装方式应符合相关国家或行业标准技术指标要求。</w:t>
      </w:r>
    </w:p>
    <w:p w14:paraId="0D221A6C">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0EFF"/>
    <w:rsid w:val="42373DF2"/>
    <w:rsid w:val="44D52A7C"/>
    <w:rsid w:val="555170AC"/>
    <w:rsid w:val="60E232EB"/>
    <w:rsid w:val="7104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纯文本1"/>
    <w:qFormat/>
    <w:uiPriority w:val="0"/>
    <w:pPr>
      <w:widowControl w:val="0"/>
      <w:jc w:val="both"/>
    </w:pPr>
    <w:rPr>
      <w:rFonts w:hint="default" w:ascii="宋体" w:hAnsi="Courier New" w:eastAsia="宋体" w:cs="Courier New"/>
      <w:sz w:val="21"/>
      <w:szCs w:val="21"/>
      <w:lang w:val="en-US" w:eastAsia="zh-CN" w:bidi="ar-SA"/>
    </w:rPr>
  </w:style>
  <w:style w:type="paragraph" w:customStyle="1" w:styleId="6">
    <w:name w:val="正文_3"/>
    <w:next w:val="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
    <w:name w:val="段_1"/>
    <w:next w:val="6"/>
    <w:qFormat/>
    <w:uiPriority w:val="0"/>
    <w:pPr>
      <w:tabs>
        <w:tab w:val="center" w:pos="4201"/>
        <w:tab w:val="right" w:leader="dot" w:pos="9298"/>
      </w:tabs>
      <w:ind w:firstLine="420"/>
      <w:jc w:val="both"/>
    </w:pPr>
    <w:rPr>
      <w:rFonts w:hint="default" w:ascii="Calibri Light" w:hAnsi="Wingdings"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2022-03-03T01:40:00Z</dcterms:created>
  <dc:creator>Administrator</dc:creator>
  <cp:lastModifiedBy>RERE</cp:lastModifiedBy>
  <dcterms:modified xsi:type="dcterms:W3CDTF">2025-11-24T08:49:48Z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741400CB0F8442419B2D92283E33A6D1</vt:lpwstr>
  </property>
  <property fmtid="{D5CDD505-2E9C-101B-9397-08002B2CF9AE}" pid="4" name="KSOTemplateDocerSaveRecord">
    <vt:lpwstr>eyJoZGlkIjoiMWM3ZDU5MDhkNmY0YTY3MTU3NGFlNjdmZDE4YWE1MjYiLCJ1c2VySWQiOiIyNzA1NTgyNDQifQ==</vt:lpwstr>
  </property>
</Properties>
</file>